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C210" w14:textId="108B2DC3" w:rsidR="000E5F76" w:rsidRDefault="000E5F76" w:rsidP="00C63AEF">
      <w:pPr>
        <w:autoSpaceDE w:val="0"/>
        <w:autoSpaceDN w:val="0"/>
        <w:adjustRightInd w:val="0"/>
        <w:jc w:val="both"/>
        <w:rPr>
          <w:rFonts w:cstheme="minorHAnsi"/>
        </w:rPr>
      </w:pPr>
      <w:r>
        <w:rPr>
          <w:noProof/>
        </w:rPr>
        <w:drawing>
          <wp:inline distT="0" distB="0" distL="0" distR="0" wp14:anchorId="2C91A354" wp14:editId="46674996">
            <wp:extent cx="239014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587" cy="1104446"/>
                    </a:xfrm>
                    <a:prstGeom prst="rect">
                      <a:avLst/>
                    </a:prstGeom>
                    <a:noFill/>
                    <a:ln>
                      <a:noFill/>
                    </a:ln>
                  </pic:spPr>
                </pic:pic>
              </a:graphicData>
            </a:graphic>
          </wp:inline>
        </w:drawing>
      </w:r>
    </w:p>
    <w:p w14:paraId="04B94C83" w14:textId="436964C2" w:rsidR="000E5F76" w:rsidRDefault="000E5F76" w:rsidP="00C63AEF">
      <w:pPr>
        <w:autoSpaceDE w:val="0"/>
        <w:autoSpaceDN w:val="0"/>
        <w:adjustRightInd w:val="0"/>
        <w:jc w:val="both"/>
        <w:rPr>
          <w:rFonts w:cstheme="minorHAnsi"/>
        </w:rPr>
      </w:pPr>
    </w:p>
    <w:p w14:paraId="782A4E16" w14:textId="41D92209" w:rsidR="000E5F76" w:rsidRDefault="000E5F76" w:rsidP="00C63AEF">
      <w:pPr>
        <w:autoSpaceDE w:val="0"/>
        <w:autoSpaceDN w:val="0"/>
        <w:adjustRightInd w:val="0"/>
        <w:jc w:val="both"/>
        <w:rPr>
          <w:rFonts w:cstheme="minorHAnsi"/>
          <w:b/>
          <w:bCs/>
        </w:rPr>
      </w:pPr>
      <w:r w:rsidRPr="000E5F76">
        <w:rPr>
          <w:rFonts w:cstheme="minorHAnsi"/>
          <w:b/>
          <w:bCs/>
        </w:rPr>
        <w:t>NEWS RELEASE</w:t>
      </w:r>
    </w:p>
    <w:p w14:paraId="1FD643C7" w14:textId="7502B0E9" w:rsidR="000E5F76" w:rsidRDefault="00070EA1" w:rsidP="00070EA1">
      <w:pPr>
        <w:autoSpaceDE w:val="0"/>
        <w:autoSpaceDN w:val="0"/>
        <w:adjustRightInd w:val="0"/>
        <w:jc w:val="center"/>
        <w:rPr>
          <w:rFonts w:cstheme="minorHAnsi"/>
        </w:rPr>
      </w:pPr>
      <w:bookmarkStart w:id="0" w:name="_Hlk68272939"/>
      <w:r w:rsidRPr="00070EA1">
        <w:rPr>
          <w:rFonts w:cstheme="minorHAnsi"/>
          <w:b/>
          <w:bCs/>
          <w:sz w:val="24"/>
          <w:szCs w:val="24"/>
        </w:rPr>
        <w:t>B</w:t>
      </w:r>
      <w:r w:rsidR="007823C9">
        <w:rPr>
          <w:rFonts w:cstheme="minorHAnsi"/>
          <w:b/>
          <w:bCs/>
          <w:sz w:val="24"/>
          <w:szCs w:val="24"/>
        </w:rPr>
        <w:t>IG RIDGE COMPLETES SALE OF ONTARIO PROPERTIES</w:t>
      </w:r>
    </w:p>
    <w:p w14:paraId="701CA3B6" w14:textId="79A47FE7" w:rsidR="00070EA1" w:rsidRPr="00070EA1" w:rsidRDefault="00111335" w:rsidP="00070EA1">
      <w:pPr>
        <w:jc w:val="both"/>
        <w:rPr>
          <w:rFonts w:cstheme="minorHAnsi"/>
        </w:rPr>
      </w:pPr>
      <w:r>
        <w:rPr>
          <w:rFonts w:cstheme="minorHAnsi"/>
        </w:rPr>
        <w:t xml:space="preserve">Toronto, Ontario, </w:t>
      </w:r>
      <w:r w:rsidR="001035D6">
        <w:rPr>
          <w:rFonts w:cstheme="minorHAnsi"/>
        </w:rPr>
        <w:t>March 1</w:t>
      </w:r>
      <w:r w:rsidR="002461BB">
        <w:rPr>
          <w:rFonts w:cstheme="minorHAnsi"/>
        </w:rPr>
        <w:t>, 2022</w:t>
      </w:r>
      <w:r w:rsidR="001035D6">
        <w:rPr>
          <w:rFonts w:cstheme="minorHAnsi"/>
        </w:rPr>
        <w:t xml:space="preserve">: </w:t>
      </w:r>
      <w:r w:rsidR="006F2F14" w:rsidRPr="006F2F14">
        <w:rPr>
          <w:rFonts w:cstheme="minorHAnsi"/>
        </w:rPr>
        <w:t xml:space="preserve">Big Ridge Gold Corp. </w:t>
      </w:r>
      <w:r w:rsidR="007E0042" w:rsidRPr="006F2F14">
        <w:rPr>
          <w:rFonts w:cstheme="minorHAnsi"/>
        </w:rPr>
        <w:t>(TSX-V:</w:t>
      </w:r>
      <w:r w:rsidR="006F2F14" w:rsidRPr="006F2F14">
        <w:rPr>
          <w:rFonts w:cstheme="minorHAnsi"/>
        </w:rPr>
        <w:t xml:space="preserve"> BRAU</w:t>
      </w:r>
      <w:r w:rsidR="005923B7" w:rsidRPr="006F2F14">
        <w:rPr>
          <w:rFonts w:cstheme="minorHAnsi"/>
        </w:rPr>
        <w:t>)</w:t>
      </w:r>
      <w:r w:rsidR="007E0042" w:rsidRPr="006F2F14">
        <w:rPr>
          <w:rFonts w:cstheme="minorHAnsi"/>
        </w:rPr>
        <w:t xml:space="preserve"> </w:t>
      </w:r>
      <w:r w:rsidR="00F75AF3">
        <w:rPr>
          <w:rFonts w:cstheme="minorHAnsi"/>
        </w:rPr>
        <w:t xml:space="preserve">(OTCQB: ALVLF) </w:t>
      </w:r>
      <w:r w:rsidR="007B5DE6">
        <w:rPr>
          <w:rFonts w:cstheme="minorHAnsi"/>
        </w:rPr>
        <w:t>(“</w:t>
      </w:r>
      <w:r w:rsidR="007B5DE6" w:rsidRPr="001F6202">
        <w:rPr>
          <w:rFonts w:cstheme="minorHAnsi"/>
          <w:b/>
          <w:bCs/>
        </w:rPr>
        <w:t>Big Ridge</w:t>
      </w:r>
      <w:r w:rsidR="007B5DE6">
        <w:rPr>
          <w:rFonts w:cstheme="minorHAnsi"/>
        </w:rPr>
        <w:t>”</w:t>
      </w:r>
      <w:r w:rsidR="001035D6">
        <w:rPr>
          <w:rFonts w:cstheme="minorHAnsi"/>
        </w:rPr>
        <w:t xml:space="preserve">) </w:t>
      </w:r>
      <w:r w:rsidR="00070EA1" w:rsidRPr="00070EA1">
        <w:rPr>
          <w:rFonts w:cstheme="minorHAnsi"/>
        </w:rPr>
        <w:t>announce</w:t>
      </w:r>
      <w:r w:rsidR="001035D6">
        <w:rPr>
          <w:rFonts w:cstheme="minorHAnsi"/>
        </w:rPr>
        <w:t>s</w:t>
      </w:r>
      <w:r w:rsidR="00070EA1" w:rsidRPr="00070EA1">
        <w:rPr>
          <w:rFonts w:cstheme="minorHAnsi"/>
        </w:rPr>
        <w:t xml:space="preserve"> </w:t>
      </w:r>
      <w:r w:rsidR="009A1681">
        <w:rPr>
          <w:rFonts w:cstheme="minorHAnsi"/>
        </w:rPr>
        <w:t>the closing of</w:t>
      </w:r>
      <w:r w:rsidR="00BC14A4">
        <w:rPr>
          <w:rFonts w:cstheme="minorHAnsi"/>
        </w:rPr>
        <w:t xml:space="preserve"> the sale of its 100% owned Ontario mining properties to Caprock Mining Corp. (“</w:t>
      </w:r>
      <w:r w:rsidR="00BC14A4" w:rsidRPr="008444C5">
        <w:rPr>
          <w:rFonts w:cstheme="minorHAnsi"/>
          <w:b/>
          <w:bCs/>
        </w:rPr>
        <w:t>Caprock</w:t>
      </w:r>
      <w:r w:rsidR="00BC14A4">
        <w:rPr>
          <w:rFonts w:cstheme="minorHAnsi"/>
        </w:rPr>
        <w:t xml:space="preserve">”) pursuant to a sale agreement dated March 11, 2021. As consideration, Caprock issued a total of </w:t>
      </w:r>
      <w:r w:rsidR="00070EA1" w:rsidRPr="00070EA1">
        <w:rPr>
          <w:rFonts w:cstheme="minorHAnsi"/>
        </w:rPr>
        <w:t>10,000,000 common shares (</w:t>
      </w:r>
      <w:r w:rsidR="00BC14A4">
        <w:rPr>
          <w:rFonts w:cstheme="minorHAnsi"/>
        </w:rPr>
        <w:t xml:space="preserve">the </w:t>
      </w:r>
      <w:r w:rsidR="00070EA1" w:rsidRPr="00070EA1">
        <w:rPr>
          <w:rFonts w:cstheme="minorHAnsi"/>
        </w:rPr>
        <w:t>“</w:t>
      </w:r>
      <w:r w:rsidR="00070EA1" w:rsidRPr="001035D6">
        <w:rPr>
          <w:rFonts w:cstheme="minorHAnsi"/>
          <w:b/>
          <w:bCs/>
        </w:rPr>
        <w:t>Caprock Shares</w:t>
      </w:r>
      <w:r w:rsidR="00070EA1" w:rsidRPr="00070EA1">
        <w:rPr>
          <w:rFonts w:cstheme="minorHAnsi"/>
        </w:rPr>
        <w:t xml:space="preserve">”) </w:t>
      </w:r>
      <w:r w:rsidR="009365C6">
        <w:rPr>
          <w:rFonts w:cstheme="minorHAnsi"/>
        </w:rPr>
        <w:t xml:space="preserve">to Big Ridge </w:t>
      </w:r>
      <w:r w:rsidR="00070EA1" w:rsidRPr="00070EA1">
        <w:rPr>
          <w:rFonts w:cstheme="minorHAnsi"/>
        </w:rPr>
        <w:t xml:space="preserve">from treasury at a deemed price of $0.10 per Caprock Share for aggregate deemed consideration of $1,000,000. </w:t>
      </w:r>
    </w:p>
    <w:p w14:paraId="15C171EF" w14:textId="5B9C3BA2" w:rsidR="00070EA1" w:rsidRDefault="00070EA1" w:rsidP="00070EA1">
      <w:pPr>
        <w:jc w:val="both"/>
        <w:rPr>
          <w:rFonts w:cstheme="minorHAnsi"/>
        </w:rPr>
      </w:pPr>
      <w:r w:rsidRPr="00070EA1">
        <w:rPr>
          <w:rFonts w:cstheme="minorHAnsi"/>
        </w:rPr>
        <w:t xml:space="preserve">Immediately prior to </w:t>
      </w:r>
      <w:r w:rsidR="001C3705">
        <w:rPr>
          <w:rFonts w:cstheme="minorHAnsi"/>
        </w:rPr>
        <w:t>closing of this transaction</w:t>
      </w:r>
      <w:r w:rsidRPr="00070EA1">
        <w:rPr>
          <w:rFonts w:cstheme="minorHAnsi"/>
        </w:rPr>
        <w:t xml:space="preserve">, Big Ridge did not own or control any Caprock Shares. </w:t>
      </w:r>
      <w:r w:rsidR="001C3705">
        <w:rPr>
          <w:rFonts w:cstheme="minorHAnsi"/>
        </w:rPr>
        <w:t>Following closing</w:t>
      </w:r>
      <w:r w:rsidRPr="00070EA1">
        <w:rPr>
          <w:rFonts w:cstheme="minorHAnsi"/>
        </w:rPr>
        <w:t xml:space="preserve">, Big Ridge owns 10,000,000 Caprock Shares, </w:t>
      </w:r>
      <w:r w:rsidR="001C3705">
        <w:rPr>
          <w:rFonts w:cstheme="minorHAnsi"/>
        </w:rPr>
        <w:t>represent</w:t>
      </w:r>
      <w:r w:rsidR="009A1681">
        <w:rPr>
          <w:rFonts w:cstheme="minorHAnsi"/>
        </w:rPr>
        <w:t>ing</w:t>
      </w:r>
      <w:r w:rsidRPr="00070EA1">
        <w:rPr>
          <w:rFonts w:cstheme="minorHAnsi"/>
        </w:rPr>
        <w:t xml:space="preserve"> approximately </w:t>
      </w:r>
      <w:r w:rsidRPr="00E71094">
        <w:rPr>
          <w:rFonts w:cstheme="minorHAnsi"/>
        </w:rPr>
        <w:t>24.77</w:t>
      </w:r>
      <w:r w:rsidRPr="00070EA1">
        <w:rPr>
          <w:rFonts w:cstheme="minorHAnsi"/>
        </w:rPr>
        <w:t xml:space="preserve">% of the issued and outstanding </w:t>
      </w:r>
      <w:r w:rsidR="00BC14A4">
        <w:rPr>
          <w:rFonts w:cstheme="minorHAnsi"/>
        </w:rPr>
        <w:t>share capital of Caprock</w:t>
      </w:r>
      <w:r w:rsidRPr="00070EA1">
        <w:rPr>
          <w:rFonts w:cstheme="minorHAnsi"/>
        </w:rPr>
        <w:t>.</w:t>
      </w:r>
      <w:r w:rsidR="001C3705">
        <w:rPr>
          <w:rFonts w:cstheme="minorHAnsi"/>
        </w:rPr>
        <w:t xml:space="preserve"> These </w:t>
      </w:r>
      <w:r w:rsidR="00E326B9">
        <w:rPr>
          <w:rFonts w:cstheme="minorHAnsi"/>
        </w:rPr>
        <w:t>Caprock S</w:t>
      </w:r>
      <w:r w:rsidR="001C3705">
        <w:rPr>
          <w:rFonts w:cstheme="minorHAnsi"/>
        </w:rPr>
        <w:t xml:space="preserve">hares </w:t>
      </w:r>
      <w:r w:rsidR="009A1681">
        <w:rPr>
          <w:rFonts w:cstheme="minorHAnsi"/>
        </w:rPr>
        <w:t xml:space="preserve">were issued under a prospectus exemption and </w:t>
      </w:r>
      <w:r w:rsidR="00577506">
        <w:rPr>
          <w:rFonts w:cstheme="minorHAnsi"/>
        </w:rPr>
        <w:t xml:space="preserve">are </w:t>
      </w:r>
      <w:r w:rsidR="00E326B9">
        <w:rPr>
          <w:rFonts w:cstheme="minorHAnsi"/>
        </w:rPr>
        <w:t xml:space="preserve">also </w:t>
      </w:r>
      <w:r w:rsidR="00577506">
        <w:rPr>
          <w:rFonts w:cstheme="minorHAnsi"/>
        </w:rPr>
        <w:t xml:space="preserve">subject to </w:t>
      </w:r>
      <w:r w:rsidR="009A1681">
        <w:rPr>
          <w:rFonts w:cstheme="minorHAnsi"/>
        </w:rPr>
        <w:t>a</w:t>
      </w:r>
      <w:r w:rsidR="00577506">
        <w:rPr>
          <w:rFonts w:cstheme="minorHAnsi"/>
        </w:rPr>
        <w:t xml:space="preserve">n escrow agreement </w:t>
      </w:r>
      <w:r w:rsidR="00E326B9">
        <w:rPr>
          <w:rFonts w:cstheme="minorHAnsi"/>
        </w:rPr>
        <w:t>providing for a</w:t>
      </w:r>
      <w:r w:rsidR="009A1681">
        <w:rPr>
          <w:rFonts w:cstheme="minorHAnsi"/>
        </w:rPr>
        <w:t xml:space="preserve"> three-year escrow</w:t>
      </w:r>
      <w:r w:rsidR="00E326B9">
        <w:rPr>
          <w:rFonts w:cstheme="minorHAnsi"/>
        </w:rPr>
        <w:t>,</w:t>
      </w:r>
      <w:r w:rsidR="009A1681">
        <w:rPr>
          <w:rFonts w:cstheme="minorHAnsi"/>
        </w:rPr>
        <w:t xml:space="preserve"> and become f</w:t>
      </w:r>
      <w:r w:rsidR="001C3705">
        <w:rPr>
          <w:rFonts w:cstheme="minorHAnsi"/>
        </w:rPr>
        <w:t>ree-trading according to the following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1681" w:rsidRPr="009A1681" w14:paraId="694C9FA8" w14:textId="77777777" w:rsidTr="009A1681">
        <w:tc>
          <w:tcPr>
            <w:tcW w:w="4675" w:type="dxa"/>
          </w:tcPr>
          <w:p w14:paraId="0AFCBCB7" w14:textId="62D66BE6" w:rsidR="009A1681" w:rsidRPr="009A1681" w:rsidRDefault="009A1681" w:rsidP="00070EA1">
            <w:pPr>
              <w:jc w:val="both"/>
              <w:rPr>
                <w:rFonts w:cstheme="minorHAnsi"/>
                <w:b/>
                <w:bCs/>
              </w:rPr>
            </w:pPr>
            <w:r w:rsidRPr="009A1681">
              <w:rPr>
                <w:rFonts w:cstheme="minorHAnsi"/>
                <w:b/>
                <w:bCs/>
              </w:rPr>
              <w:t>Date</w:t>
            </w:r>
          </w:p>
        </w:tc>
        <w:tc>
          <w:tcPr>
            <w:tcW w:w="4675" w:type="dxa"/>
          </w:tcPr>
          <w:p w14:paraId="1CE0709B" w14:textId="5F5C5973" w:rsidR="009A1681" w:rsidRPr="009A1681" w:rsidRDefault="009A1681" w:rsidP="009A1681">
            <w:pPr>
              <w:jc w:val="center"/>
              <w:rPr>
                <w:rFonts w:cstheme="minorHAnsi"/>
                <w:b/>
                <w:bCs/>
              </w:rPr>
            </w:pPr>
            <w:r w:rsidRPr="009A1681">
              <w:rPr>
                <w:rFonts w:cstheme="minorHAnsi"/>
                <w:b/>
                <w:bCs/>
              </w:rPr>
              <w:t>Number of shares</w:t>
            </w:r>
          </w:p>
        </w:tc>
      </w:tr>
      <w:tr w:rsidR="009A1681" w14:paraId="0B102D99" w14:textId="77777777" w:rsidTr="009A1681">
        <w:tc>
          <w:tcPr>
            <w:tcW w:w="4675" w:type="dxa"/>
          </w:tcPr>
          <w:p w14:paraId="3B95D675" w14:textId="13A8A306" w:rsidR="009A1681" w:rsidRDefault="008255D6" w:rsidP="00070EA1">
            <w:pPr>
              <w:jc w:val="both"/>
              <w:rPr>
                <w:rFonts w:cstheme="minorHAnsi"/>
              </w:rPr>
            </w:pPr>
            <w:r>
              <w:rPr>
                <w:rFonts w:cstheme="minorHAnsi"/>
              </w:rPr>
              <w:t xml:space="preserve">June </w:t>
            </w:r>
            <w:r w:rsidR="009A1681">
              <w:rPr>
                <w:rFonts w:cstheme="minorHAnsi"/>
              </w:rPr>
              <w:t>2</w:t>
            </w:r>
            <w:r>
              <w:rPr>
                <w:rFonts w:cstheme="minorHAnsi"/>
              </w:rPr>
              <w:t>9</w:t>
            </w:r>
            <w:r w:rsidR="009A1681">
              <w:rPr>
                <w:rFonts w:cstheme="minorHAnsi"/>
              </w:rPr>
              <w:t>, 2022</w:t>
            </w:r>
            <w:r w:rsidR="00CA3D0E">
              <w:rPr>
                <w:rFonts w:cstheme="minorHAnsi"/>
              </w:rPr>
              <w:t>*</w:t>
            </w:r>
          </w:p>
        </w:tc>
        <w:tc>
          <w:tcPr>
            <w:tcW w:w="4675" w:type="dxa"/>
          </w:tcPr>
          <w:p w14:paraId="7E512BF4" w14:textId="4BD664E7" w:rsidR="009A1681" w:rsidRDefault="009A1681" w:rsidP="009A1681">
            <w:pPr>
              <w:jc w:val="center"/>
              <w:rPr>
                <w:rFonts w:cstheme="minorHAnsi"/>
              </w:rPr>
            </w:pPr>
            <w:r>
              <w:rPr>
                <w:rFonts w:cstheme="minorHAnsi"/>
              </w:rPr>
              <w:t>1,000,000</w:t>
            </w:r>
          </w:p>
        </w:tc>
      </w:tr>
      <w:tr w:rsidR="009A1681" w14:paraId="4D3BEEA0" w14:textId="77777777" w:rsidTr="009A1681">
        <w:tc>
          <w:tcPr>
            <w:tcW w:w="4675" w:type="dxa"/>
          </w:tcPr>
          <w:p w14:paraId="06B20719" w14:textId="1EFFE91C" w:rsidR="009A1681" w:rsidRDefault="009A1681" w:rsidP="00070EA1">
            <w:pPr>
              <w:jc w:val="both"/>
              <w:rPr>
                <w:rFonts w:cstheme="minorHAnsi"/>
              </w:rPr>
            </w:pPr>
            <w:r>
              <w:rPr>
                <w:rFonts w:cstheme="minorHAnsi"/>
              </w:rPr>
              <w:t>July 26, 2022</w:t>
            </w:r>
          </w:p>
        </w:tc>
        <w:tc>
          <w:tcPr>
            <w:tcW w:w="4675" w:type="dxa"/>
          </w:tcPr>
          <w:p w14:paraId="76C70C9E" w14:textId="0E6460BD" w:rsidR="009A1681" w:rsidRDefault="009A1681" w:rsidP="009A1681">
            <w:pPr>
              <w:jc w:val="center"/>
              <w:rPr>
                <w:rFonts w:cstheme="minorHAnsi"/>
              </w:rPr>
            </w:pPr>
            <w:r>
              <w:rPr>
                <w:rFonts w:cstheme="minorHAnsi"/>
              </w:rPr>
              <w:t>1,500,000</w:t>
            </w:r>
          </w:p>
        </w:tc>
      </w:tr>
      <w:tr w:rsidR="009A1681" w14:paraId="2CBD5C81" w14:textId="77777777" w:rsidTr="009A1681">
        <w:tc>
          <w:tcPr>
            <w:tcW w:w="4675" w:type="dxa"/>
          </w:tcPr>
          <w:p w14:paraId="0F3E5941" w14:textId="41039726" w:rsidR="009A1681" w:rsidRDefault="009A1681" w:rsidP="009A1681">
            <w:pPr>
              <w:jc w:val="both"/>
              <w:rPr>
                <w:rFonts w:cstheme="minorHAnsi"/>
              </w:rPr>
            </w:pPr>
            <w:r>
              <w:rPr>
                <w:rFonts w:cstheme="minorHAnsi"/>
              </w:rPr>
              <w:t>January 26, 2023</w:t>
            </w:r>
          </w:p>
        </w:tc>
        <w:tc>
          <w:tcPr>
            <w:tcW w:w="4675" w:type="dxa"/>
          </w:tcPr>
          <w:p w14:paraId="65F2C005" w14:textId="68B2C0D0" w:rsidR="009A1681" w:rsidRDefault="009A1681" w:rsidP="009A1681">
            <w:pPr>
              <w:jc w:val="center"/>
              <w:rPr>
                <w:rFonts w:cstheme="minorHAnsi"/>
              </w:rPr>
            </w:pPr>
            <w:r>
              <w:rPr>
                <w:rFonts w:cstheme="minorHAnsi"/>
              </w:rPr>
              <w:t>1,500,000</w:t>
            </w:r>
          </w:p>
        </w:tc>
      </w:tr>
      <w:tr w:rsidR="009A1681" w14:paraId="66B723A9" w14:textId="77777777" w:rsidTr="009A1681">
        <w:tc>
          <w:tcPr>
            <w:tcW w:w="4675" w:type="dxa"/>
          </w:tcPr>
          <w:p w14:paraId="77928EC9" w14:textId="0AB36650" w:rsidR="009A1681" w:rsidRDefault="009A1681" w:rsidP="009A1681">
            <w:pPr>
              <w:jc w:val="both"/>
              <w:rPr>
                <w:rFonts w:cstheme="minorHAnsi"/>
              </w:rPr>
            </w:pPr>
            <w:r>
              <w:rPr>
                <w:rFonts w:cstheme="minorHAnsi"/>
              </w:rPr>
              <w:t>July 26, 2023</w:t>
            </w:r>
          </w:p>
        </w:tc>
        <w:tc>
          <w:tcPr>
            <w:tcW w:w="4675" w:type="dxa"/>
          </w:tcPr>
          <w:p w14:paraId="4C7CB1A0" w14:textId="742CAD5E" w:rsidR="009A1681" w:rsidRDefault="009A1681" w:rsidP="009A1681">
            <w:pPr>
              <w:jc w:val="center"/>
              <w:rPr>
                <w:rFonts w:cstheme="minorHAnsi"/>
              </w:rPr>
            </w:pPr>
            <w:r>
              <w:rPr>
                <w:rFonts w:cstheme="minorHAnsi"/>
              </w:rPr>
              <w:t>1,500,000</w:t>
            </w:r>
          </w:p>
        </w:tc>
      </w:tr>
      <w:tr w:rsidR="009A1681" w14:paraId="1FD21FBA" w14:textId="77777777" w:rsidTr="009A1681">
        <w:tc>
          <w:tcPr>
            <w:tcW w:w="4675" w:type="dxa"/>
          </w:tcPr>
          <w:p w14:paraId="1ADFF0C0" w14:textId="7CE1CB6E" w:rsidR="009A1681" w:rsidRDefault="009A1681" w:rsidP="009A1681">
            <w:pPr>
              <w:jc w:val="both"/>
              <w:rPr>
                <w:rFonts w:cstheme="minorHAnsi"/>
              </w:rPr>
            </w:pPr>
            <w:r>
              <w:rPr>
                <w:rFonts w:cstheme="minorHAnsi"/>
              </w:rPr>
              <w:t>January 26, 2024</w:t>
            </w:r>
          </w:p>
        </w:tc>
        <w:tc>
          <w:tcPr>
            <w:tcW w:w="4675" w:type="dxa"/>
          </w:tcPr>
          <w:p w14:paraId="1C23ADE0" w14:textId="3679E2E2" w:rsidR="009A1681" w:rsidRDefault="009A1681" w:rsidP="009A1681">
            <w:pPr>
              <w:jc w:val="center"/>
              <w:rPr>
                <w:rFonts w:cstheme="minorHAnsi"/>
              </w:rPr>
            </w:pPr>
            <w:r>
              <w:rPr>
                <w:rFonts w:cstheme="minorHAnsi"/>
              </w:rPr>
              <w:t>1,500,000</w:t>
            </w:r>
          </w:p>
        </w:tc>
      </w:tr>
      <w:tr w:rsidR="009A1681" w14:paraId="54B6EB50" w14:textId="77777777" w:rsidTr="009A1681">
        <w:tc>
          <w:tcPr>
            <w:tcW w:w="4675" w:type="dxa"/>
          </w:tcPr>
          <w:p w14:paraId="2534D4CE" w14:textId="3505D559" w:rsidR="009A1681" w:rsidRDefault="009A1681" w:rsidP="009A1681">
            <w:pPr>
              <w:jc w:val="both"/>
              <w:rPr>
                <w:rFonts w:cstheme="minorHAnsi"/>
              </w:rPr>
            </w:pPr>
            <w:r>
              <w:rPr>
                <w:rFonts w:cstheme="minorHAnsi"/>
              </w:rPr>
              <w:t>July 26, 2024</w:t>
            </w:r>
          </w:p>
        </w:tc>
        <w:tc>
          <w:tcPr>
            <w:tcW w:w="4675" w:type="dxa"/>
          </w:tcPr>
          <w:p w14:paraId="76D49722" w14:textId="03D614D9" w:rsidR="009A1681" w:rsidRDefault="009A1681" w:rsidP="009A1681">
            <w:pPr>
              <w:jc w:val="center"/>
              <w:rPr>
                <w:rFonts w:cstheme="minorHAnsi"/>
              </w:rPr>
            </w:pPr>
            <w:r>
              <w:rPr>
                <w:rFonts w:cstheme="minorHAnsi"/>
              </w:rPr>
              <w:t>1,500,000</w:t>
            </w:r>
          </w:p>
        </w:tc>
      </w:tr>
      <w:tr w:rsidR="009A1681" w14:paraId="19789C4F" w14:textId="77777777" w:rsidTr="009A1681">
        <w:tc>
          <w:tcPr>
            <w:tcW w:w="4675" w:type="dxa"/>
          </w:tcPr>
          <w:p w14:paraId="6428E624" w14:textId="3494EB45" w:rsidR="009A1681" w:rsidRDefault="009A1681" w:rsidP="009A1681">
            <w:pPr>
              <w:jc w:val="both"/>
              <w:rPr>
                <w:rFonts w:cstheme="minorHAnsi"/>
              </w:rPr>
            </w:pPr>
            <w:r>
              <w:rPr>
                <w:rFonts w:cstheme="minorHAnsi"/>
              </w:rPr>
              <w:t>January 26, 2025</w:t>
            </w:r>
          </w:p>
        </w:tc>
        <w:tc>
          <w:tcPr>
            <w:tcW w:w="4675" w:type="dxa"/>
          </w:tcPr>
          <w:p w14:paraId="1011E486" w14:textId="1BCF8054" w:rsidR="009A1681" w:rsidRDefault="009A1681" w:rsidP="009A1681">
            <w:pPr>
              <w:jc w:val="center"/>
              <w:rPr>
                <w:rFonts w:cstheme="minorHAnsi"/>
              </w:rPr>
            </w:pPr>
            <w:r>
              <w:rPr>
                <w:rFonts w:cstheme="minorHAnsi"/>
              </w:rPr>
              <w:t>1,500,000</w:t>
            </w:r>
          </w:p>
        </w:tc>
      </w:tr>
    </w:tbl>
    <w:p w14:paraId="039D100C" w14:textId="620369B9" w:rsidR="00CA3D0E" w:rsidRPr="00C45FD2" w:rsidRDefault="00CA3D0E" w:rsidP="00070EA1">
      <w:pPr>
        <w:jc w:val="both"/>
        <w:rPr>
          <w:rFonts w:cstheme="minorHAnsi"/>
          <w:sz w:val="16"/>
          <w:szCs w:val="16"/>
        </w:rPr>
      </w:pPr>
      <w:r w:rsidRPr="00C45FD2">
        <w:rPr>
          <w:rFonts w:cstheme="minorHAnsi"/>
          <w:sz w:val="16"/>
          <w:szCs w:val="16"/>
        </w:rPr>
        <w:t>*</w:t>
      </w:r>
      <w:r>
        <w:rPr>
          <w:rFonts w:cstheme="minorHAnsi"/>
          <w:sz w:val="16"/>
          <w:szCs w:val="16"/>
        </w:rPr>
        <w:t>R</w:t>
      </w:r>
      <w:r w:rsidRPr="00C45FD2">
        <w:rPr>
          <w:rFonts w:cstheme="minorHAnsi"/>
          <w:sz w:val="16"/>
          <w:szCs w:val="16"/>
        </w:rPr>
        <w:t xml:space="preserve">eleased from escrow upon issuance, but subject to a hold period of four months and one day </w:t>
      </w:r>
      <w:r>
        <w:rPr>
          <w:rFonts w:cstheme="minorHAnsi"/>
          <w:sz w:val="16"/>
          <w:szCs w:val="16"/>
        </w:rPr>
        <w:t xml:space="preserve">under applicable securities laws. </w:t>
      </w:r>
    </w:p>
    <w:p w14:paraId="393C9832" w14:textId="4C2B7ACD" w:rsidR="00070EA1" w:rsidRDefault="00070EA1" w:rsidP="00070EA1">
      <w:pPr>
        <w:jc w:val="both"/>
        <w:rPr>
          <w:rFonts w:cstheme="minorHAnsi"/>
        </w:rPr>
      </w:pPr>
      <w:r w:rsidRPr="00070EA1">
        <w:rPr>
          <w:rFonts w:cstheme="minorHAnsi"/>
        </w:rPr>
        <w:t xml:space="preserve">Big Ridge will continue to monitor the business, prospects, financial condition and potential capital requirements of Caprock. Depending on its evaluation of these and other factors Big Ridge may from time to time in the future increase or decrease its direct or indirect ownership, control or direction over the Common Shares or other securities of Caprock through market transactions, private agreements, subscriptions from treasury or otherwise, and may from time to time engage in discussions with, or make proposals to, Caprock or other third parties regarding any of the matters listed in paragraphs (a) through (k) of Item 5 of Form NI 62-103F1 - </w:t>
      </w:r>
      <w:r w:rsidRPr="001035D6">
        <w:rPr>
          <w:rFonts w:cstheme="minorHAnsi"/>
          <w:i/>
          <w:iCs/>
        </w:rPr>
        <w:t>Required Disclosure under the Early Warning Requirements</w:t>
      </w:r>
      <w:r w:rsidRPr="00070EA1">
        <w:rPr>
          <w:rFonts w:cstheme="minorHAnsi"/>
        </w:rPr>
        <w:t xml:space="preserve"> of the Canadian Securities Administrators.</w:t>
      </w:r>
    </w:p>
    <w:p w14:paraId="6C481285" w14:textId="697D981F" w:rsidR="00C63AEF" w:rsidRPr="00C63AEF" w:rsidRDefault="00C63AEF" w:rsidP="00C72447">
      <w:pPr>
        <w:pStyle w:val="NormalWeb"/>
        <w:keepNext/>
        <w:keepLines/>
        <w:shd w:val="clear" w:color="auto" w:fill="FFFFFF"/>
        <w:spacing w:before="225" w:beforeAutospacing="0" w:after="225" w:afterAutospacing="0"/>
        <w:jc w:val="both"/>
        <w:textAlignment w:val="top"/>
        <w:rPr>
          <w:rFonts w:asciiTheme="minorHAnsi" w:hAnsiTheme="minorHAnsi" w:cstheme="minorHAnsi"/>
          <w:b/>
          <w:bCs/>
          <w:color w:val="555555"/>
          <w:sz w:val="23"/>
          <w:szCs w:val="23"/>
        </w:rPr>
      </w:pPr>
      <w:r w:rsidRPr="00C63AEF">
        <w:rPr>
          <w:rFonts w:asciiTheme="minorHAnsi" w:hAnsiTheme="minorHAnsi" w:cstheme="minorHAnsi"/>
          <w:b/>
          <w:bCs/>
          <w:color w:val="555555"/>
          <w:sz w:val="23"/>
          <w:szCs w:val="23"/>
        </w:rPr>
        <w:lastRenderedPageBreak/>
        <w:t>About Big Ridge Gold Corp.</w:t>
      </w:r>
    </w:p>
    <w:p w14:paraId="6EE0ED22" w14:textId="6F538CEC" w:rsidR="00FF1BDD" w:rsidRDefault="00FF1BDD" w:rsidP="00C72447">
      <w:pPr>
        <w:keepNext/>
        <w:keepLines/>
        <w:autoSpaceDE w:val="0"/>
        <w:autoSpaceDN w:val="0"/>
        <w:adjustRightInd w:val="0"/>
        <w:spacing w:line="240" w:lineRule="auto"/>
        <w:jc w:val="both"/>
        <w:rPr>
          <w:rFonts w:cstheme="minorHAnsi"/>
        </w:rPr>
      </w:pPr>
      <w:r w:rsidRPr="00FF1BDD">
        <w:rPr>
          <w:rFonts w:cstheme="minorHAnsi"/>
        </w:rPr>
        <w:t xml:space="preserve">Big Ridge Gold Corp. is an exploration and development company </w:t>
      </w:r>
      <w:r w:rsidR="00665BF2">
        <w:rPr>
          <w:rFonts w:cstheme="minorHAnsi"/>
        </w:rPr>
        <w:t xml:space="preserve">managed by a disciplined and experienced team of officers and directors. </w:t>
      </w:r>
      <w:r w:rsidRPr="00FF1BDD">
        <w:rPr>
          <w:rFonts w:cstheme="minorHAnsi"/>
        </w:rPr>
        <w:t xml:space="preserve">The Company is </w:t>
      </w:r>
      <w:r w:rsidR="00665BF2">
        <w:rPr>
          <w:rFonts w:cstheme="minorHAnsi"/>
        </w:rPr>
        <w:t xml:space="preserve">committed to the development of advanced stage mining projects using industry best practices combined with strong social license from our local communities. Big Ridge owns </w:t>
      </w:r>
      <w:r w:rsidR="001035D6">
        <w:rPr>
          <w:rFonts w:cstheme="minorHAnsi"/>
        </w:rPr>
        <w:t xml:space="preserve">a </w:t>
      </w:r>
      <w:r w:rsidR="00665BF2">
        <w:rPr>
          <w:rFonts w:cstheme="minorHAnsi"/>
        </w:rPr>
        <w:t xml:space="preserve">100% interest in the highly prospective </w:t>
      </w:r>
      <w:r w:rsidRPr="00FF1BDD">
        <w:rPr>
          <w:rFonts w:cstheme="minorHAnsi"/>
        </w:rPr>
        <w:t>Oxford Gold Project located in Manitoba</w:t>
      </w:r>
      <w:r w:rsidR="00CB53F1">
        <w:rPr>
          <w:rFonts w:cstheme="minorHAnsi"/>
        </w:rPr>
        <w:t xml:space="preserve"> and the </w:t>
      </w:r>
      <w:r w:rsidR="00D45C76">
        <w:rPr>
          <w:rFonts w:cstheme="minorHAnsi"/>
        </w:rPr>
        <w:t>Destiny Gold Project in Quebec</w:t>
      </w:r>
      <w:r w:rsidR="00CB53F1">
        <w:rPr>
          <w:rFonts w:cstheme="minorHAnsi"/>
        </w:rPr>
        <w:t xml:space="preserve">. </w:t>
      </w:r>
      <w:r w:rsidR="009B5170">
        <w:rPr>
          <w:rFonts w:cstheme="minorHAnsi"/>
        </w:rPr>
        <w:t>Big Ridge is the operator of the Hope Brook Gold Project located in Newfoundland and Labrador.</w:t>
      </w:r>
    </w:p>
    <w:p w14:paraId="0056C18F" w14:textId="77777777" w:rsidR="007C1557" w:rsidRDefault="007C1557" w:rsidP="007C1557">
      <w:pPr>
        <w:spacing w:after="0" w:line="240" w:lineRule="auto"/>
        <w:jc w:val="both"/>
        <w:rPr>
          <w:rFonts w:cstheme="minorHAnsi"/>
        </w:rPr>
      </w:pPr>
    </w:p>
    <w:p w14:paraId="00EC0E1D" w14:textId="5B0C4242" w:rsidR="00C63AEF" w:rsidRDefault="00C63AEF" w:rsidP="007C1557">
      <w:pPr>
        <w:spacing w:after="0" w:line="240" w:lineRule="auto"/>
        <w:jc w:val="both"/>
        <w:rPr>
          <w:rFonts w:cstheme="minorHAnsi"/>
        </w:rPr>
      </w:pPr>
      <w:bookmarkStart w:id="1" w:name="_Hlk71102919"/>
      <w:r>
        <w:rPr>
          <w:rFonts w:cstheme="minorHAnsi"/>
        </w:rPr>
        <w:t xml:space="preserve">For more details regarding the Company’s projects, please visit our website at </w:t>
      </w:r>
      <w:hyperlink r:id="rId8" w:history="1">
        <w:r w:rsidR="00104287" w:rsidRPr="00104287">
          <w:rPr>
            <w:rStyle w:val="Hyperlink"/>
            <w:rFonts w:cstheme="minorHAnsi"/>
          </w:rPr>
          <w:t>www.bigridgegold</w:t>
        </w:r>
        <w:r w:rsidR="00104287" w:rsidRPr="00B51572">
          <w:rPr>
            <w:rStyle w:val="Hyperlink"/>
            <w:rFonts w:cstheme="minorHAnsi"/>
          </w:rPr>
          <w:t>.com</w:t>
        </w:r>
      </w:hyperlink>
      <w:r>
        <w:rPr>
          <w:rFonts w:cstheme="minorHAnsi"/>
        </w:rPr>
        <w:t xml:space="preserve"> </w:t>
      </w:r>
    </w:p>
    <w:p w14:paraId="7AE61CEA" w14:textId="77777777" w:rsidR="00C63AEF" w:rsidRDefault="00C63AEF" w:rsidP="007C1557">
      <w:pPr>
        <w:spacing w:after="0" w:line="240" w:lineRule="auto"/>
        <w:jc w:val="both"/>
        <w:rPr>
          <w:rFonts w:cstheme="minorHAnsi"/>
        </w:rPr>
      </w:pPr>
    </w:p>
    <w:p w14:paraId="68F0278E" w14:textId="77777777" w:rsidR="00C63AEF" w:rsidRDefault="00C63AEF" w:rsidP="001035D6">
      <w:pPr>
        <w:keepNext/>
        <w:spacing w:after="0" w:line="240" w:lineRule="auto"/>
        <w:jc w:val="both"/>
        <w:rPr>
          <w:rFonts w:cstheme="minorHAnsi"/>
        </w:rPr>
      </w:pPr>
      <w:r>
        <w:rPr>
          <w:rFonts w:cstheme="minorHAnsi"/>
        </w:rPr>
        <w:t>ON BEHALF OF THE BOARD,</w:t>
      </w:r>
    </w:p>
    <w:p w14:paraId="552C9BF4" w14:textId="77777777" w:rsidR="00C63AEF" w:rsidRDefault="00C63AEF" w:rsidP="007C1557">
      <w:pPr>
        <w:spacing w:after="0" w:line="240" w:lineRule="auto"/>
        <w:jc w:val="both"/>
        <w:rPr>
          <w:rFonts w:cstheme="minorHAnsi"/>
        </w:rPr>
      </w:pPr>
    </w:p>
    <w:p w14:paraId="2B67C638" w14:textId="6E3A7C92" w:rsidR="00C63AEF" w:rsidRDefault="00C63AEF" w:rsidP="007C1557">
      <w:pPr>
        <w:spacing w:after="0" w:line="240" w:lineRule="auto"/>
        <w:jc w:val="both"/>
        <w:rPr>
          <w:rFonts w:cstheme="minorHAnsi"/>
        </w:rPr>
      </w:pPr>
      <w:r>
        <w:rPr>
          <w:rFonts w:cstheme="minorHAnsi"/>
        </w:rPr>
        <w:t xml:space="preserve">Mike Bandrowski, </w:t>
      </w:r>
    </w:p>
    <w:p w14:paraId="3B08E477" w14:textId="7DBF882A" w:rsidR="00C63AEF" w:rsidRDefault="000E5F76" w:rsidP="007C1557">
      <w:pPr>
        <w:spacing w:after="0" w:line="240" w:lineRule="auto"/>
        <w:jc w:val="both"/>
        <w:rPr>
          <w:rFonts w:cstheme="minorHAnsi"/>
        </w:rPr>
      </w:pPr>
      <w:r>
        <w:rPr>
          <w:rFonts w:cstheme="minorHAnsi"/>
        </w:rPr>
        <w:t xml:space="preserve">President &amp; </w:t>
      </w:r>
      <w:r w:rsidR="00C63AEF">
        <w:rPr>
          <w:rFonts w:cstheme="minorHAnsi"/>
        </w:rPr>
        <w:t xml:space="preserve">CEO </w:t>
      </w:r>
    </w:p>
    <w:p w14:paraId="1935B388" w14:textId="0D41D6FB" w:rsidR="00C63AEF" w:rsidRDefault="00070EA1" w:rsidP="001B16FC">
      <w:pPr>
        <w:spacing w:before="120"/>
        <w:rPr>
          <w:rFonts w:cstheme="minorHAnsi"/>
        </w:rPr>
      </w:pPr>
      <w:r>
        <w:rPr>
          <w:rFonts w:cstheme="minorHAnsi"/>
        </w:rPr>
        <w:t>F</w:t>
      </w:r>
      <w:r w:rsidRPr="00070EA1">
        <w:rPr>
          <w:rFonts w:cstheme="minorHAnsi"/>
        </w:rPr>
        <w:t>or further information, including a copy of the corresponding report filed with Canadian securities regulators, please visit www.sedar.com or contact:</w:t>
      </w:r>
    </w:p>
    <w:p w14:paraId="5E2D8B3E" w14:textId="6A684525" w:rsidR="00C63AEF" w:rsidRDefault="000E5F76" w:rsidP="007C1557">
      <w:pPr>
        <w:spacing w:after="0" w:line="240" w:lineRule="auto"/>
        <w:rPr>
          <w:rFonts w:cstheme="minorHAnsi"/>
        </w:rPr>
      </w:pPr>
      <w:r>
        <w:rPr>
          <w:rFonts w:cstheme="minorHAnsi"/>
        </w:rPr>
        <w:t>Mike Bandrowski</w:t>
      </w:r>
      <w:r w:rsidR="00C63AEF">
        <w:rPr>
          <w:rFonts w:cstheme="minorHAnsi"/>
        </w:rPr>
        <w:t>,</w:t>
      </w:r>
    </w:p>
    <w:p w14:paraId="1443C0D0" w14:textId="259EE9F7" w:rsidR="00C63AEF" w:rsidRDefault="000E5F76" w:rsidP="007C1557">
      <w:pPr>
        <w:spacing w:after="0" w:line="240" w:lineRule="auto"/>
        <w:rPr>
          <w:rFonts w:cstheme="minorHAnsi"/>
        </w:rPr>
      </w:pPr>
      <w:r>
        <w:rPr>
          <w:rFonts w:cstheme="minorHAnsi"/>
        </w:rPr>
        <w:t xml:space="preserve">President &amp; </w:t>
      </w:r>
      <w:r w:rsidR="00C63AEF">
        <w:rPr>
          <w:rFonts w:cstheme="minorHAnsi"/>
        </w:rPr>
        <w:t xml:space="preserve">CEO </w:t>
      </w:r>
    </w:p>
    <w:p w14:paraId="0648A5A3" w14:textId="706AD045" w:rsidR="00C63AEF" w:rsidRDefault="000E5F76" w:rsidP="007C1557">
      <w:pPr>
        <w:spacing w:after="0" w:line="240" w:lineRule="auto"/>
        <w:rPr>
          <w:rFonts w:cstheme="minorHAnsi"/>
        </w:rPr>
      </w:pPr>
      <w:r>
        <w:rPr>
          <w:rFonts w:cstheme="minorHAnsi"/>
        </w:rPr>
        <w:t>BIG RIDGE GOLD CORP.</w:t>
      </w:r>
    </w:p>
    <w:p w14:paraId="56E6003E" w14:textId="77777777" w:rsidR="00E60206" w:rsidRDefault="00665BF2" w:rsidP="007C1557">
      <w:pPr>
        <w:spacing w:after="0" w:line="240" w:lineRule="auto"/>
        <w:rPr>
          <w:rFonts w:cstheme="minorHAnsi"/>
        </w:rPr>
      </w:pPr>
      <w:r w:rsidRPr="00EC6D9D">
        <w:rPr>
          <w:rFonts w:cstheme="minorHAnsi"/>
        </w:rPr>
        <w:t>1</w:t>
      </w:r>
      <w:r w:rsidR="00E60206">
        <w:rPr>
          <w:rFonts w:cstheme="minorHAnsi"/>
        </w:rPr>
        <w:t>8 King St. East, Suite 1400</w:t>
      </w:r>
    </w:p>
    <w:p w14:paraId="24EE341B" w14:textId="1DCEBD27" w:rsidR="00C63AEF" w:rsidRPr="00EC6D9D" w:rsidRDefault="00665BF2" w:rsidP="007C1557">
      <w:pPr>
        <w:spacing w:after="0" w:line="240" w:lineRule="auto"/>
        <w:rPr>
          <w:rFonts w:cstheme="minorHAnsi"/>
        </w:rPr>
      </w:pPr>
      <w:r w:rsidRPr="00EC6D9D">
        <w:rPr>
          <w:rFonts w:cstheme="minorHAnsi"/>
        </w:rPr>
        <w:t>Toronto, ON, M5</w:t>
      </w:r>
      <w:r w:rsidR="00E60206">
        <w:rPr>
          <w:rFonts w:cstheme="minorHAnsi"/>
        </w:rPr>
        <w:t>C 1C4</w:t>
      </w:r>
    </w:p>
    <w:p w14:paraId="6151B8A3" w14:textId="71B473A9" w:rsidR="00C63AEF" w:rsidRDefault="00C63AEF" w:rsidP="007C1557">
      <w:pPr>
        <w:spacing w:after="0" w:line="240" w:lineRule="auto"/>
        <w:rPr>
          <w:rFonts w:cstheme="minorHAnsi"/>
        </w:rPr>
      </w:pPr>
      <w:r>
        <w:rPr>
          <w:rFonts w:cstheme="minorHAnsi"/>
        </w:rPr>
        <w:t xml:space="preserve">Tel: </w:t>
      </w:r>
      <w:r w:rsidR="00DE5BEF">
        <w:rPr>
          <w:rFonts w:cstheme="minorHAnsi"/>
        </w:rPr>
        <w:t>416-540-5480</w:t>
      </w:r>
    </w:p>
    <w:p w14:paraId="09558908" w14:textId="231F4A6B" w:rsidR="00C63AEF" w:rsidRDefault="00C63AEF" w:rsidP="007C1557">
      <w:pPr>
        <w:spacing w:after="0" w:line="240" w:lineRule="auto"/>
        <w:rPr>
          <w:rStyle w:val="Hyperlink"/>
          <w:rFonts w:cstheme="minorHAnsi"/>
        </w:rPr>
      </w:pPr>
      <w:r>
        <w:rPr>
          <w:rFonts w:cstheme="minorHAnsi"/>
        </w:rPr>
        <w:t xml:space="preserve">Email: </w:t>
      </w:r>
      <w:hyperlink r:id="rId9" w:history="1">
        <w:r w:rsidR="006B12F7" w:rsidRPr="00A17F55">
          <w:rPr>
            <w:rStyle w:val="Hyperlink"/>
            <w:rFonts w:cstheme="minorHAnsi"/>
          </w:rPr>
          <w:t>Mike@bigridgegold.com</w:t>
        </w:r>
      </w:hyperlink>
    </w:p>
    <w:p w14:paraId="0276A3E5" w14:textId="1C7A4470" w:rsidR="001F6202" w:rsidRDefault="001F6202" w:rsidP="007C1557">
      <w:pPr>
        <w:spacing w:after="0" w:line="240" w:lineRule="auto"/>
        <w:rPr>
          <w:rStyle w:val="Hyperlink"/>
          <w:rFonts w:cstheme="minorHAnsi"/>
        </w:rPr>
      </w:pPr>
    </w:p>
    <w:p w14:paraId="50928AE0" w14:textId="20E68B1E" w:rsidR="00665BF2" w:rsidRDefault="00665BF2" w:rsidP="001F6202">
      <w:pPr>
        <w:spacing w:after="0" w:line="240" w:lineRule="auto"/>
        <w:rPr>
          <w:rFonts w:cstheme="minorHAnsi"/>
          <w:b/>
          <w:bCs/>
          <w:i/>
          <w:iCs/>
        </w:rPr>
      </w:pPr>
      <w:r>
        <w:rPr>
          <w:rStyle w:val="Emphasis"/>
          <w:rFonts w:cstheme="minorHAnsi"/>
        </w:rPr>
        <w:t>Neither the TSX Venture Exchange nor its Regulation Services Provider (as that term is defined in the policies of the TSX Venture Exchange) accepts responsibility for the adequacy or accuracy of this release.</w:t>
      </w:r>
    </w:p>
    <w:p w14:paraId="70272B44" w14:textId="77777777" w:rsidR="00665BF2" w:rsidRDefault="00665BF2" w:rsidP="001F6202">
      <w:pPr>
        <w:spacing w:after="0" w:line="240" w:lineRule="auto"/>
        <w:rPr>
          <w:rFonts w:cstheme="minorHAnsi"/>
          <w:b/>
          <w:bCs/>
          <w:i/>
          <w:iCs/>
        </w:rPr>
      </w:pPr>
    </w:p>
    <w:p w14:paraId="77874A7B" w14:textId="34FD2FFF" w:rsidR="001F6202" w:rsidRDefault="001F6202" w:rsidP="005261BA">
      <w:pPr>
        <w:keepNext/>
        <w:keepLines/>
        <w:spacing w:after="0" w:line="240" w:lineRule="auto"/>
        <w:rPr>
          <w:rFonts w:cstheme="minorHAnsi"/>
          <w:b/>
          <w:bCs/>
          <w:i/>
          <w:iCs/>
        </w:rPr>
      </w:pPr>
      <w:r w:rsidRPr="001F6202">
        <w:rPr>
          <w:rFonts w:cstheme="minorHAnsi"/>
          <w:b/>
          <w:bCs/>
          <w:i/>
          <w:iCs/>
        </w:rPr>
        <w:t>Cautionary Note Regarding Forward-Looking Statements</w:t>
      </w:r>
    </w:p>
    <w:p w14:paraId="27137761" w14:textId="77777777" w:rsidR="001F6202" w:rsidRPr="001F6202" w:rsidRDefault="001F6202" w:rsidP="005261BA">
      <w:pPr>
        <w:keepNext/>
        <w:keepLines/>
        <w:spacing w:after="0" w:line="240" w:lineRule="auto"/>
        <w:rPr>
          <w:rFonts w:cstheme="minorHAnsi"/>
        </w:rPr>
      </w:pPr>
    </w:p>
    <w:p w14:paraId="1C415310" w14:textId="5A35CE3E" w:rsidR="001F6202" w:rsidRPr="001F6202" w:rsidRDefault="001F6202" w:rsidP="005261BA">
      <w:pPr>
        <w:keepNext/>
        <w:keepLines/>
        <w:spacing w:after="0" w:line="240" w:lineRule="auto"/>
        <w:jc w:val="both"/>
        <w:rPr>
          <w:rFonts w:cstheme="minorHAnsi"/>
        </w:rPr>
      </w:pPr>
      <w:r w:rsidRPr="001F6202">
        <w:rPr>
          <w:rFonts w:cstheme="minorHAnsi"/>
          <w:i/>
          <w:iCs/>
        </w:rPr>
        <w:t>This news release includes certain "forward-looking information” and "forward-looking statements” (collectively "forward-looking statements”) within the meaning of applicable Canadian securities legislation. These forward-looking statements are made as of the date of this news release. Forward-looking statements are frequently, but not always, identified by words such as "expects”, "anticipates”, "believes”, “plans”, “projects”, "intends”, "estimates”, “envisages”, "potential”, "possible”, “strategy”, “goals”, “objectives”, or variations thereof or stating that certain actions, events or results "may", "could", "would", "might" or "will" be taken, occur or be achieved, or the negative of any of these terms and similar expressions.</w:t>
      </w:r>
      <w:r w:rsidRPr="001F6202">
        <w:rPr>
          <w:rFonts w:cstheme="minorHAnsi"/>
        </w:rPr>
        <w:t> </w:t>
      </w:r>
    </w:p>
    <w:p w14:paraId="7E073E92" w14:textId="77777777" w:rsidR="001F6202" w:rsidRDefault="001F6202" w:rsidP="001F6202">
      <w:pPr>
        <w:spacing w:after="0" w:line="240" w:lineRule="auto"/>
        <w:jc w:val="both"/>
        <w:rPr>
          <w:rFonts w:cstheme="minorHAnsi"/>
          <w:i/>
          <w:iCs/>
        </w:rPr>
      </w:pPr>
    </w:p>
    <w:p w14:paraId="19A031AB" w14:textId="26BE1484" w:rsidR="001F6202" w:rsidRDefault="001F6202" w:rsidP="001F6202">
      <w:pPr>
        <w:spacing w:after="0" w:line="240" w:lineRule="auto"/>
        <w:jc w:val="both"/>
        <w:rPr>
          <w:rFonts w:cstheme="minorHAnsi"/>
        </w:rPr>
      </w:pPr>
      <w:r w:rsidRPr="001F6202">
        <w:rPr>
          <w:rFonts w:cstheme="minorHAnsi"/>
          <w:i/>
          <w:iCs/>
        </w:rPr>
        <w:t>Forward-looking statements in this news release relate to future events or future performance and reflect current estimates, predictions, expectations or beliefs regarding future events</w:t>
      </w:r>
      <w:r w:rsidR="00070EA1">
        <w:rPr>
          <w:rFonts w:cstheme="minorHAnsi"/>
          <w:i/>
          <w:iCs/>
        </w:rPr>
        <w:t xml:space="preserve">, and include, without limitation, statements with respect to Big Ridge’s intentions with respect to Caprock’s shares. </w:t>
      </w:r>
      <w:r w:rsidRPr="001F6202">
        <w:rPr>
          <w:rFonts w:cstheme="minorHAnsi"/>
          <w:i/>
          <w:iCs/>
        </w:rPr>
        <w:t xml:space="preserve">All forward-looking statements are based on </w:t>
      </w:r>
      <w:r>
        <w:rPr>
          <w:rFonts w:cstheme="minorHAnsi"/>
          <w:i/>
          <w:iCs/>
        </w:rPr>
        <w:t>Big Ridge’s</w:t>
      </w:r>
      <w:r w:rsidRPr="001F6202">
        <w:rPr>
          <w:rFonts w:cstheme="minorHAnsi"/>
          <w:i/>
          <w:iCs/>
        </w:rPr>
        <w:t xml:space="preserve"> </w:t>
      </w:r>
      <w:r>
        <w:rPr>
          <w:rFonts w:cstheme="minorHAnsi"/>
          <w:i/>
          <w:iCs/>
        </w:rPr>
        <w:t xml:space="preserve">and its employees’ </w:t>
      </w:r>
      <w:r w:rsidRPr="001F6202">
        <w:rPr>
          <w:rFonts w:cstheme="minorHAnsi"/>
          <w:i/>
          <w:iCs/>
        </w:rPr>
        <w:t xml:space="preserve">current beliefs as well as various assumptions made by them and information currently available to them. There can be no assurance that such statements will prove to be accurate, and actual results and future events could differ materially from those anticipated in such statements. Forward-looking statements reflect the beliefs, opinions and </w:t>
      </w:r>
      <w:r w:rsidRPr="001F6202">
        <w:rPr>
          <w:rFonts w:cstheme="minorHAnsi"/>
          <w:i/>
          <w:iCs/>
        </w:rPr>
        <w:lastRenderedPageBreak/>
        <w:t xml:space="preserve">projections on the date the statements are made and are based upon a number of assumptions and estimates that, while considered reasonable by the respective parties, are inherently subject to significant business, economic, competitive, political and social uncertainties and contingencies. Many factors, both known and unknown, could cause actual results, performance or achievements to be materially different from the results, performance or achievements that are or may be expressed or implied by such forward-looking statements and the parties have made assumptions and estimates based on or related to many of these factors. When relying on our forward-looking statements to make decisions with respect to </w:t>
      </w:r>
      <w:r>
        <w:rPr>
          <w:rFonts w:cstheme="minorHAnsi"/>
          <w:i/>
          <w:iCs/>
        </w:rPr>
        <w:t>Big Ridge</w:t>
      </w:r>
      <w:r w:rsidRPr="001F6202">
        <w:rPr>
          <w:rFonts w:cstheme="minorHAnsi"/>
          <w:i/>
          <w:iCs/>
        </w:rPr>
        <w:t xml:space="preserve">, investors and others should carefully consider the foregoing factors and other uncertainties and potential events. </w:t>
      </w:r>
      <w:r>
        <w:rPr>
          <w:rFonts w:cstheme="minorHAnsi"/>
          <w:i/>
          <w:iCs/>
        </w:rPr>
        <w:t>Big Ridge</w:t>
      </w:r>
      <w:r w:rsidRPr="001F6202">
        <w:rPr>
          <w:rFonts w:cstheme="minorHAnsi"/>
          <w:i/>
          <w:iCs/>
        </w:rPr>
        <w:t xml:space="preserve"> does not undertake to update any forward-looking statement, whether written or oral, that may be made from time to time by the Company or on our behalf, except as required by law.</w:t>
      </w:r>
      <w:r w:rsidRPr="001F6202">
        <w:rPr>
          <w:rFonts w:cstheme="minorHAnsi"/>
        </w:rPr>
        <w:t> </w:t>
      </w:r>
      <w:bookmarkEnd w:id="0"/>
      <w:bookmarkEnd w:id="1"/>
    </w:p>
    <w:sectPr w:rsidR="001F620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5CE0" w14:textId="77777777" w:rsidR="00FC7857" w:rsidRDefault="00FC7857" w:rsidP="00E11E30">
      <w:pPr>
        <w:spacing w:after="0" w:line="240" w:lineRule="auto"/>
      </w:pPr>
      <w:r>
        <w:separator/>
      </w:r>
    </w:p>
  </w:endnote>
  <w:endnote w:type="continuationSeparator" w:id="0">
    <w:p w14:paraId="56175732" w14:textId="77777777" w:rsidR="00FC7857" w:rsidRDefault="00FC7857" w:rsidP="00E1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E0C8" w14:textId="77777777" w:rsidR="00FC7857" w:rsidRDefault="00FC7857" w:rsidP="00E11E30">
      <w:pPr>
        <w:spacing w:after="0" w:line="240" w:lineRule="auto"/>
      </w:pPr>
      <w:r>
        <w:separator/>
      </w:r>
    </w:p>
  </w:footnote>
  <w:footnote w:type="continuationSeparator" w:id="0">
    <w:p w14:paraId="16495CCA" w14:textId="77777777" w:rsidR="00FC7857" w:rsidRDefault="00FC7857" w:rsidP="00E1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8A89" w14:textId="105EFD24" w:rsidR="00E11E30" w:rsidRPr="00E11E30" w:rsidRDefault="00E11E30" w:rsidP="00E11E30">
    <w:pPr>
      <w:pStyle w:val="Header"/>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3DA7"/>
    <w:multiLevelType w:val="hybridMultilevel"/>
    <w:tmpl w:val="273A2D46"/>
    <w:lvl w:ilvl="0" w:tplc="C4EAB9F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7951DB"/>
    <w:multiLevelType w:val="hybridMultilevel"/>
    <w:tmpl w:val="ACEECCF6"/>
    <w:lvl w:ilvl="0" w:tplc="04D0FF6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42"/>
    <w:rsid w:val="00004305"/>
    <w:rsid w:val="00013270"/>
    <w:rsid w:val="00013E45"/>
    <w:rsid w:val="00013F9C"/>
    <w:rsid w:val="00022708"/>
    <w:rsid w:val="00042576"/>
    <w:rsid w:val="00043355"/>
    <w:rsid w:val="000476BA"/>
    <w:rsid w:val="00053A3B"/>
    <w:rsid w:val="0006098A"/>
    <w:rsid w:val="00070EA1"/>
    <w:rsid w:val="000B14D7"/>
    <w:rsid w:val="000B1590"/>
    <w:rsid w:val="000D0729"/>
    <w:rsid w:val="000D726B"/>
    <w:rsid w:val="000E4690"/>
    <w:rsid w:val="000E5F76"/>
    <w:rsid w:val="00101973"/>
    <w:rsid w:val="001035D6"/>
    <w:rsid w:val="00104287"/>
    <w:rsid w:val="00111335"/>
    <w:rsid w:val="00157225"/>
    <w:rsid w:val="00162401"/>
    <w:rsid w:val="00165AD1"/>
    <w:rsid w:val="00170E10"/>
    <w:rsid w:val="00173163"/>
    <w:rsid w:val="0018420A"/>
    <w:rsid w:val="001A390B"/>
    <w:rsid w:val="001A61DE"/>
    <w:rsid w:val="001B0382"/>
    <w:rsid w:val="001B16FC"/>
    <w:rsid w:val="001B4133"/>
    <w:rsid w:val="001C3705"/>
    <w:rsid w:val="001C37A8"/>
    <w:rsid w:val="001E3C9A"/>
    <w:rsid w:val="001F6202"/>
    <w:rsid w:val="00211231"/>
    <w:rsid w:val="0022760E"/>
    <w:rsid w:val="00232EA6"/>
    <w:rsid w:val="00233ADE"/>
    <w:rsid w:val="002461BB"/>
    <w:rsid w:val="00260520"/>
    <w:rsid w:val="00271E26"/>
    <w:rsid w:val="00284645"/>
    <w:rsid w:val="00295DCD"/>
    <w:rsid w:val="002A1706"/>
    <w:rsid w:val="002E7ED5"/>
    <w:rsid w:val="003028A6"/>
    <w:rsid w:val="003034F0"/>
    <w:rsid w:val="003518E1"/>
    <w:rsid w:val="00352C7A"/>
    <w:rsid w:val="003671D6"/>
    <w:rsid w:val="00371AB3"/>
    <w:rsid w:val="00372EF0"/>
    <w:rsid w:val="00375A16"/>
    <w:rsid w:val="00381889"/>
    <w:rsid w:val="00381AB0"/>
    <w:rsid w:val="00382718"/>
    <w:rsid w:val="00391C5B"/>
    <w:rsid w:val="00396E85"/>
    <w:rsid w:val="003B2C35"/>
    <w:rsid w:val="003D1B52"/>
    <w:rsid w:val="003E3C0E"/>
    <w:rsid w:val="003F0102"/>
    <w:rsid w:val="003F6D8E"/>
    <w:rsid w:val="004225D0"/>
    <w:rsid w:val="00454D22"/>
    <w:rsid w:val="00465644"/>
    <w:rsid w:val="00467681"/>
    <w:rsid w:val="00472361"/>
    <w:rsid w:val="004A42E9"/>
    <w:rsid w:val="004A5564"/>
    <w:rsid w:val="004D73BC"/>
    <w:rsid w:val="005042BA"/>
    <w:rsid w:val="005261BA"/>
    <w:rsid w:val="00563B34"/>
    <w:rsid w:val="00575C30"/>
    <w:rsid w:val="00577506"/>
    <w:rsid w:val="00585A60"/>
    <w:rsid w:val="005865DB"/>
    <w:rsid w:val="005923B7"/>
    <w:rsid w:val="005930E6"/>
    <w:rsid w:val="005A57A2"/>
    <w:rsid w:val="005C1379"/>
    <w:rsid w:val="005D6DC1"/>
    <w:rsid w:val="005E6594"/>
    <w:rsid w:val="005E7158"/>
    <w:rsid w:val="005F299A"/>
    <w:rsid w:val="006038F4"/>
    <w:rsid w:val="00605575"/>
    <w:rsid w:val="006247CD"/>
    <w:rsid w:val="00627F8D"/>
    <w:rsid w:val="006515AC"/>
    <w:rsid w:val="00665BF2"/>
    <w:rsid w:val="00672269"/>
    <w:rsid w:val="006A4147"/>
    <w:rsid w:val="006A51B2"/>
    <w:rsid w:val="006A5488"/>
    <w:rsid w:val="006B08B8"/>
    <w:rsid w:val="006B12F7"/>
    <w:rsid w:val="006D502A"/>
    <w:rsid w:val="006E41E6"/>
    <w:rsid w:val="006F2F14"/>
    <w:rsid w:val="006F7DB9"/>
    <w:rsid w:val="00700012"/>
    <w:rsid w:val="007120EC"/>
    <w:rsid w:val="00720CCF"/>
    <w:rsid w:val="00723D06"/>
    <w:rsid w:val="007471A5"/>
    <w:rsid w:val="00757525"/>
    <w:rsid w:val="00757AF2"/>
    <w:rsid w:val="007823C9"/>
    <w:rsid w:val="00787737"/>
    <w:rsid w:val="007B0A94"/>
    <w:rsid w:val="007B5DE6"/>
    <w:rsid w:val="007C1557"/>
    <w:rsid w:val="007D60EE"/>
    <w:rsid w:val="007E0042"/>
    <w:rsid w:val="007F6BFC"/>
    <w:rsid w:val="00822BF9"/>
    <w:rsid w:val="008255D6"/>
    <w:rsid w:val="008269AC"/>
    <w:rsid w:val="008362F0"/>
    <w:rsid w:val="008444C5"/>
    <w:rsid w:val="008642DD"/>
    <w:rsid w:val="00872C95"/>
    <w:rsid w:val="008A566C"/>
    <w:rsid w:val="008A78A9"/>
    <w:rsid w:val="008C43AA"/>
    <w:rsid w:val="008D63EE"/>
    <w:rsid w:val="008E1D1A"/>
    <w:rsid w:val="008E368A"/>
    <w:rsid w:val="008F6C1D"/>
    <w:rsid w:val="00905CF8"/>
    <w:rsid w:val="009076B1"/>
    <w:rsid w:val="00911316"/>
    <w:rsid w:val="009121F9"/>
    <w:rsid w:val="009354FA"/>
    <w:rsid w:val="009365C6"/>
    <w:rsid w:val="00983BC0"/>
    <w:rsid w:val="009A1681"/>
    <w:rsid w:val="009B3FD0"/>
    <w:rsid w:val="009B5170"/>
    <w:rsid w:val="009B6A43"/>
    <w:rsid w:val="009C3CEC"/>
    <w:rsid w:val="009D404D"/>
    <w:rsid w:val="009D6B2A"/>
    <w:rsid w:val="009E451B"/>
    <w:rsid w:val="00A02C03"/>
    <w:rsid w:val="00A139D3"/>
    <w:rsid w:val="00A17D69"/>
    <w:rsid w:val="00A23737"/>
    <w:rsid w:val="00A441F2"/>
    <w:rsid w:val="00A6064A"/>
    <w:rsid w:val="00A802D7"/>
    <w:rsid w:val="00A83E82"/>
    <w:rsid w:val="00A97CB9"/>
    <w:rsid w:val="00AA2447"/>
    <w:rsid w:val="00AA2828"/>
    <w:rsid w:val="00AA4B57"/>
    <w:rsid w:val="00AB4203"/>
    <w:rsid w:val="00AB7037"/>
    <w:rsid w:val="00AF1B94"/>
    <w:rsid w:val="00B063E9"/>
    <w:rsid w:val="00B23C4F"/>
    <w:rsid w:val="00B67549"/>
    <w:rsid w:val="00B92167"/>
    <w:rsid w:val="00B97558"/>
    <w:rsid w:val="00BB1ED7"/>
    <w:rsid w:val="00BC14A4"/>
    <w:rsid w:val="00BD1E9F"/>
    <w:rsid w:val="00BE7A3A"/>
    <w:rsid w:val="00BF24DB"/>
    <w:rsid w:val="00C105D9"/>
    <w:rsid w:val="00C1610A"/>
    <w:rsid w:val="00C221B1"/>
    <w:rsid w:val="00C226DF"/>
    <w:rsid w:val="00C45FD2"/>
    <w:rsid w:val="00C51917"/>
    <w:rsid w:val="00C60C52"/>
    <w:rsid w:val="00C63AEF"/>
    <w:rsid w:val="00C72447"/>
    <w:rsid w:val="00CA2A16"/>
    <w:rsid w:val="00CA3D0E"/>
    <w:rsid w:val="00CA4989"/>
    <w:rsid w:val="00CB53F1"/>
    <w:rsid w:val="00CD05C7"/>
    <w:rsid w:val="00CF7DDB"/>
    <w:rsid w:val="00D03EEF"/>
    <w:rsid w:val="00D0580F"/>
    <w:rsid w:val="00D209DE"/>
    <w:rsid w:val="00D44A97"/>
    <w:rsid w:val="00D45C76"/>
    <w:rsid w:val="00D55477"/>
    <w:rsid w:val="00D743D0"/>
    <w:rsid w:val="00D925F5"/>
    <w:rsid w:val="00D949CE"/>
    <w:rsid w:val="00DB0E0F"/>
    <w:rsid w:val="00DD5184"/>
    <w:rsid w:val="00DE5BEF"/>
    <w:rsid w:val="00DF67C3"/>
    <w:rsid w:val="00E056AB"/>
    <w:rsid w:val="00E11E30"/>
    <w:rsid w:val="00E326B9"/>
    <w:rsid w:val="00E36131"/>
    <w:rsid w:val="00E60206"/>
    <w:rsid w:val="00E71094"/>
    <w:rsid w:val="00E861AF"/>
    <w:rsid w:val="00E87C79"/>
    <w:rsid w:val="00EA44D8"/>
    <w:rsid w:val="00EC6D9D"/>
    <w:rsid w:val="00ED4917"/>
    <w:rsid w:val="00ED7693"/>
    <w:rsid w:val="00EF5146"/>
    <w:rsid w:val="00F00B32"/>
    <w:rsid w:val="00F01FE3"/>
    <w:rsid w:val="00F07FA6"/>
    <w:rsid w:val="00F11036"/>
    <w:rsid w:val="00F50F72"/>
    <w:rsid w:val="00F63295"/>
    <w:rsid w:val="00F64A74"/>
    <w:rsid w:val="00F70EAF"/>
    <w:rsid w:val="00F75AF3"/>
    <w:rsid w:val="00F7635D"/>
    <w:rsid w:val="00F8249C"/>
    <w:rsid w:val="00F87572"/>
    <w:rsid w:val="00FA06A5"/>
    <w:rsid w:val="00FA7BB5"/>
    <w:rsid w:val="00FB3228"/>
    <w:rsid w:val="00FB7800"/>
    <w:rsid w:val="00FC0518"/>
    <w:rsid w:val="00FC7857"/>
    <w:rsid w:val="00FC7B7C"/>
    <w:rsid w:val="00FF1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A434"/>
  <w15:chartTrackingRefBased/>
  <w15:docId w15:val="{CF3D5C57-922D-42CB-B82C-2F03F44C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0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E0042"/>
    <w:rPr>
      <w:b/>
      <w:bCs/>
    </w:rPr>
  </w:style>
  <w:style w:type="character" w:styleId="Hyperlink">
    <w:name w:val="Hyperlink"/>
    <w:basedOn w:val="DefaultParagraphFont"/>
    <w:unhideWhenUsed/>
    <w:rsid w:val="007E0042"/>
    <w:rPr>
      <w:color w:val="0000FF"/>
      <w:u w:val="single"/>
    </w:rPr>
  </w:style>
  <w:style w:type="character" w:styleId="UnresolvedMention">
    <w:name w:val="Unresolved Mention"/>
    <w:basedOn w:val="DefaultParagraphFont"/>
    <w:uiPriority w:val="99"/>
    <w:semiHidden/>
    <w:unhideWhenUsed/>
    <w:rsid w:val="005923B7"/>
    <w:rPr>
      <w:color w:val="605E5C"/>
      <w:shd w:val="clear" w:color="auto" w:fill="E1DFDD"/>
    </w:rPr>
  </w:style>
  <w:style w:type="character" w:styleId="Emphasis">
    <w:name w:val="Emphasis"/>
    <w:basedOn w:val="DefaultParagraphFont"/>
    <w:uiPriority w:val="20"/>
    <w:qFormat/>
    <w:rsid w:val="00C63AEF"/>
    <w:rPr>
      <w:i/>
      <w:iCs/>
    </w:rPr>
  </w:style>
  <w:style w:type="paragraph" w:styleId="BalloonText">
    <w:name w:val="Balloon Text"/>
    <w:basedOn w:val="Normal"/>
    <w:link w:val="BalloonTextChar"/>
    <w:uiPriority w:val="99"/>
    <w:semiHidden/>
    <w:unhideWhenUsed/>
    <w:rsid w:val="00104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87"/>
    <w:rPr>
      <w:rFonts w:ascii="Segoe UI" w:hAnsi="Segoe UI" w:cs="Segoe UI"/>
      <w:sz w:val="18"/>
      <w:szCs w:val="18"/>
    </w:rPr>
  </w:style>
  <w:style w:type="character" w:customStyle="1" w:styleId="xn-person">
    <w:name w:val="xn-person"/>
    <w:basedOn w:val="DefaultParagraphFont"/>
    <w:rsid w:val="00911316"/>
  </w:style>
  <w:style w:type="character" w:customStyle="1" w:styleId="xn-location">
    <w:name w:val="xn-location"/>
    <w:basedOn w:val="DefaultParagraphFont"/>
    <w:rsid w:val="00911316"/>
  </w:style>
  <w:style w:type="character" w:customStyle="1" w:styleId="xn-money">
    <w:name w:val="xn-money"/>
    <w:basedOn w:val="DefaultParagraphFont"/>
    <w:rsid w:val="00911316"/>
  </w:style>
  <w:style w:type="character" w:customStyle="1" w:styleId="Prompt">
    <w:name w:val="Prompt"/>
    <w:aliases w:val="PR,Pr"/>
    <w:basedOn w:val="DefaultParagraphFont"/>
    <w:uiPriority w:val="29"/>
    <w:qFormat/>
    <w:rsid w:val="00211231"/>
    <w:rPr>
      <w:rFonts w:cs="Arial"/>
      <w:color w:val="0000FF"/>
      <w:szCs w:val="22"/>
      <w:lang w:val="en-CA" w:eastAsia="en-CA"/>
    </w:rPr>
  </w:style>
  <w:style w:type="character" w:customStyle="1" w:styleId="Heading1Char">
    <w:name w:val="Heading 1 Char"/>
    <w:basedOn w:val="DefaultParagraphFont"/>
    <w:link w:val="Heading1"/>
    <w:uiPriority w:val="9"/>
    <w:rsid w:val="007C155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11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30"/>
  </w:style>
  <w:style w:type="paragraph" w:styleId="Footer">
    <w:name w:val="footer"/>
    <w:basedOn w:val="Normal"/>
    <w:link w:val="FooterChar"/>
    <w:uiPriority w:val="99"/>
    <w:unhideWhenUsed/>
    <w:rsid w:val="00E1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30"/>
  </w:style>
  <w:style w:type="paragraph" w:styleId="ListParagraph">
    <w:name w:val="List Paragraph"/>
    <w:basedOn w:val="Normal"/>
    <w:uiPriority w:val="34"/>
    <w:qFormat/>
    <w:rsid w:val="00FC0518"/>
    <w:pPr>
      <w:ind w:left="720"/>
      <w:contextualSpacing/>
    </w:pPr>
  </w:style>
  <w:style w:type="character" w:styleId="CommentReference">
    <w:name w:val="annotation reference"/>
    <w:basedOn w:val="DefaultParagraphFont"/>
    <w:uiPriority w:val="99"/>
    <w:semiHidden/>
    <w:unhideWhenUsed/>
    <w:rsid w:val="007471A5"/>
    <w:rPr>
      <w:sz w:val="16"/>
      <w:szCs w:val="16"/>
    </w:rPr>
  </w:style>
  <w:style w:type="paragraph" w:styleId="CommentText">
    <w:name w:val="annotation text"/>
    <w:basedOn w:val="Normal"/>
    <w:link w:val="CommentTextChar"/>
    <w:uiPriority w:val="99"/>
    <w:semiHidden/>
    <w:unhideWhenUsed/>
    <w:rsid w:val="007471A5"/>
    <w:pPr>
      <w:spacing w:line="240" w:lineRule="auto"/>
    </w:pPr>
    <w:rPr>
      <w:sz w:val="20"/>
      <w:szCs w:val="20"/>
    </w:rPr>
  </w:style>
  <w:style w:type="character" w:customStyle="1" w:styleId="CommentTextChar">
    <w:name w:val="Comment Text Char"/>
    <w:basedOn w:val="DefaultParagraphFont"/>
    <w:link w:val="CommentText"/>
    <w:uiPriority w:val="99"/>
    <w:semiHidden/>
    <w:rsid w:val="007471A5"/>
    <w:rPr>
      <w:sz w:val="20"/>
      <w:szCs w:val="20"/>
    </w:rPr>
  </w:style>
  <w:style w:type="paragraph" w:styleId="CommentSubject">
    <w:name w:val="annotation subject"/>
    <w:basedOn w:val="CommentText"/>
    <w:next w:val="CommentText"/>
    <w:link w:val="CommentSubjectChar"/>
    <w:uiPriority w:val="99"/>
    <w:semiHidden/>
    <w:unhideWhenUsed/>
    <w:rsid w:val="007471A5"/>
    <w:rPr>
      <w:b/>
      <w:bCs/>
    </w:rPr>
  </w:style>
  <w:style w:type="character" w:customStyle="1" w:styleId="CommentSubjectChar">
    <w:name w:val="Comment Subject Char"/>
    <w:basedOn w:val="CommentTextChar"/>
    <w:link w:val="CommentSubject"/>
    <w:uiPriority w:val="99"/>
    <w:semiHidden/>
    <w:rsid w:val="007471A5"/>
    <w:rPr>
      <w:b/>
      <w:bCs/>
      <w:sz w:val="20"/>
      <w:szCs w:val="20"/>
    </w:rPr>
  </w:style>
  <w:style w:type="paragraph" w:customStyle="1" w:styleId="xmsonormal">
    <w:name w:val="x_msonormal"/>
    <w:basedOn w:val="Normal"/>
    <w:rsid w:val="003671D6"/>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9A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09">
      <w:bodyDiv w:val="1"/>
      <w:marLeft w:val="0"/>
      <w:marRight w:val="0"/>
      <w:marTop w:val="0"/>
      <w:marBottom w:val="0"/>
      <w:divBdr>
        <w:top w:val="none" w:sz="0" w:space="0" w:color="auto"/>
        <w:left w:val="none" w:sz="0" w:space="0" w:color="auto"/>
        <w:bottom w:val="none" w:sz="0" w:space="0" w:color="auto"/>
        <w:right w:val="none" w:sz="0" w:space="0" w:color="auto"/>
      </w:divBdr>
    </w:div>
    <w:div w:id="92943869">
      <w:bodyDiv w:val="1"/>
      <w:marLeft w:val="0"/>
      <w:marRight w:val="0"/>
      <w:marTop w:val="0"/>
      <w:marBottom w:val="0"/>
      <w:divBdr>
        <w:top w:val="none" w:sz="0" w:space="0" w:color="auto"/>
        <w:left w:val="none" w:sz="0" w:space="0" w:color="auto"/>
        <w:bottom w:val="none" w:sz="0" w:space="0" w:color="auto"/>
        <w:right w:val="none" w:sz="0" w:space="0" w:color="auto"/>
      </w:divBdr>
    </w:div>
    <w:div w:id="261886893">
      <w:bodyDiv w:val="1"/>
      <w:marLeft w:val="0"/>
      <w:marRight w:val="0"/>
      <w:marTop w:val="0"/>
      <w:marBottom w:val="0"/>
      <w:divBdr>
        <w:top w:val="none" w:sz="0" w:space="0" w:color="auto"/>
        <w:left w:val="none" w:sz="0" w:space="0" w:color="auto"/>
        <w:bottom w:val="none" w:sz="0" w:space="0" w:color="auto"/>
        <w:right w:val="none" w:sz="0" w:space="0" w:color="auto"/>
      </w:divBdr>
    </w:div>
    <w:div w:id="545795535">
      <w:bodyDiv w:val="1"/>
      <w:marLeft w:val="0"/>
      <w:marRight w:val="0"/>
      <w:marTop w:val="0"/>
      <w:marBottom w:val="0"/>
      <w:divBdr>
        <w:top w:val="none" w:sz="0" w:space="0" w:color="auto"/>
        <w:left w:val="none" w:sz="0" w:space="0" w:color="auto"/>
        <w:bottom w:val="none" w:sz="0" w:space="0" w:color="auto"/>
        <w:right w:val="none" w:sz="0" w:space="0" w:color="auto"/>
      </w:divBdr>
    </w:div>
    <w:div w:id="653460178">
      <w:bodyDiv w:val="1"/>
      <w:marLeft w:val="0"/>
      <w:marRight w:val="0"/>
      <w:marTop w:val="0"/>
      <w:marBottom w:val="0"/>
      <w:divBdr>
        <w:top w:val="none" w:sz="0" w:space="0" w:color="auto"/>
        <w:left w:val="none" w:sz="0" w:space="0" w:color="auto"/>
        <w:bottom w:val="none" w:sz="0" w:space="0" w:color="auto"/>
        <w:right w:val="none" w:sz="0" w:space="0" w:color="auto"/>
      </w:divBdr>
    </w:div>
    <w:div w:id="674303518">
      <w:bodyDiv w:val="1"/>
      <w:marLeft w:val="0"/>
      <w:marRight w:val="0"/>
      <w:marTop w:val="0"/>
      <w:marBottom w:val="0"/>
      <w:divBdr>
        <w:top w:val="none" w:sz="0" w:space="0" w:color="auto"/>
        <w:left w:val="none" w:sz="0" w:space="0" w:color="auto"/>
        <w:bottom w:val="none" w:sz="0" w:space="0" w:color="auto"/>
        <w:right w:val="none" w:sz="0" w:space="0" w:color="auto"/>
      </w:divBdr>
    </w:div>
    <w:div w:id="998655812">
      <w:bodyDiv w:val="1"/>
      <w:marLeft w:val="0"/>
      <w:marRight w:val="0"/>
      <w:marTop w:val="0"/>
      <w:marBottom w:val="0"/>
      <w:divBdr>
        <w:top w:val="none" w:sz="0" w:space="0" w:color="auto"/>
        <w:left w:val="none" w:sz="0" w:space="0" w:color="auto"/>
        <w:bottom w:val="none" w:sz="0" w:space="0" w:color="auto"/>
        <w:right w:val="none" w:sz="0" w:space="0" w:color="auto"/>
      </w:divBdr>
    </w:div>
    <w:div w:id="1154293579">
      <w:bodyDiv w:val="1"/>
      <w:marLeft w:val="0"/>
      <w:marRight w:val="0"/>
      <w:marTop w:val="0"/>
      <w:marBottom w:val="0"/>
      <w:divBdr>
        <w:top w:val="none" w:sz="0" w:space="0" w:color="auto"/>
        <w:left w:val="none" w:sz="0" w:space="0" w:color="auto"/>
        <w:bottom w:val="none" w:sz="0" w:space="0" w:color="auto"/>
        <w:right w:val="none" w:sz="0" w:space="0" w:color="auto"/>
      </w:divBdr>
    </w:div>
    <w:div w:id="1301105892">
      <w:bodyDiv w:val="1"/>
      <w:marLeft w:val="0"/>
      <w:marRight w:val="0"/>
      <w:marTop w:val="0"/>
      <w:marBottom w:val="0"/>
      <w:divBdr>
        <w:top w:val="none" w:sz="0" w:space="0" w:color="auto"/>
        <w:left w:val="none" w:sz="0" w:space="0" w:color="auto"/>
        <w:bottom w:val="none" w:sz="0" w:space="0" w:color="auto"/>
        <w:right w:val="none" w:sz="0" w:space="0" w:color="auto"/>
      </w:divBdr>
    </w:div>
    <w:div w:id="1392466014">
      <w:bodyDiv w:val="1"/>
      <w:marLeft w:val="0"/>
      <w:marRight w:val="0"/>
      <w:marTop w:val="0"/>
      <w:marBottom w:val="0"/>
      <w:divBdr>
        <w:top w:val="none" w:sz="0" w:space="0" w:color="auto"/>
        <w:left w:val="none" w:sz="0" w:space="0" w:color="auto"/>
        <w:bottom w:val="none" w:sz="0" w:space="0" w:color="auto"/>
        <w:right w:val="none" w:sz="0" w:space="0" w:color="auto"/>
      </w:divBdr>
    </w:div>
    <w:div w:id="1551384711">
      <w:bodyDiv w:val="1"/>
      <w:marLeft w:val="0"/>
      <w:marRight w:val="0"/>
      <w:marTop w:val="0"/>
      <w:marBottom w:val="0"/>
      <w:divBdr>
        <w:top w:val="none" w:sz="0" w:space="0" w:color="auto"/>
        <w:left w:val="none" w:sz="0" w:space="0" w:color="auto"/>
        <w:bottom w:val="none" w:sz="0" w:space="0" w:color="auto"/>
        <w:right w:val="none" w:sz="0" w:space="0" w:color="auto"/>
      </w:divBdr>
      <w:divsChild>
        <w:div w:id="64809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ridgegol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e@bigridge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Bandrowski</dc:creator>
  <cp:lastModifiedBy>Michael Bandrowski</cp:lastModifiedBy>
  <cp:revision>3</cp:revision>
  <dcterms:created xsi:type="dcterms:W3CDTF">2022-03-01T22:18:00Z</dcterms:created>
  <dcterms:modified xsi:type="dcterms:W3CDTF">2022-03-01T22:30:00Z</dcterms:modified>
</cp:coreProperties>
</file>